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40" w:after="0"/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Załącznik nr 1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SZCZEGÓŁOWY OPIS PRZEDMIOTU ZAMÓWIENIA</w:t>
      </w:r>
    </w:p>
    <w:p>
      <w:pPr>
        <w:pStyle w:val="Nagwek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agwek2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Wykonanie prac instalacyjnych, teletechnicznych, montaż i konfiguracja kamer w systemie monitoringu miejskiego. W ramach realizacji prac należy dostarczyć materiały i urządzenia do transmisji danych oraz wykonać prace w obszarze poniższych punktów kamerowych:</w:t>
      </w:r>
    </w:p>
    <w:p>
      <w:pPr>
        <w:pStyle w:val="Normal"/>
        <w:rPr/>
      </w:pPr>
      <w:r>
        <w:rPr/>
      </w:r>
    </w:p>
    <w:tbl>
      <w:tblPr>
        <w:tblW w:w="9633" w:type="dxa"/>
        <w:jc w:val="left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92"/>
        <w:gridCol w:w="7440"/>
      </w:tblGrid>
      <w:tr>
        <w:trPr>
          <w:trHeight w:val="626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DBDB" w:themeFill="accent3" w:themeFillTint="66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BDBDB" w:themeFill="accent3" w:themeFillTint="66" w:val="clear"/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Cs w:val="22"/>
                <w:lang w:eastAsia="pl-PL"/>
              </w:rPr>
              <w:t>Zakres prac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Mydlice 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Żeromskiego 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Zdemontować kamerę szybkoobrotową wraz z uchwytem.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Wymienić puszkę hermetyczną.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Wymienić instalację elektryczną  i zabezpieczenie w punkcie kamerowym.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4. Wymienić haki odciągowe dla kabla światłowodowego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5. Dokonać spawania światłowodu w punkcie kamerowym, montaż gniazd optycznego i pomiar w kierunku punktu dystrybucyjnego. 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6. Dostarczyć i zamontować switch przemysłowy PoE 4 + 1portowy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7. Zamontować trzy kamery stałopozycyjne na uchwytach słupowych.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8. Dokonać konfiguracji analityki pozwalającej na: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przedmiotów pozostawionych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przedmiotów zabranych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Gromadzenia się tłumów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leżących  osób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false"/>
              <w:bidi w:val="0"/>
              <w:spacing w:lineRule="auto" w:line="240" w:before="0" w:after="0"/>
              <w:ind w:left="340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chodzenia w kółko (szwędania)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Przejście podziemne Merkury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Zrealizować instalację dla 2 punktów kamerowych obejmujących więcej niż 1 kamerę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Dokonać wymiany aktualnego switcha na switch przemysłowy.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Usprawnić instalację elektryczną w obrębie punktów kamerowych, zainstalować zabezpieczenie.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4. Zdemontować aktualne kamery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5. W punkcie instalacji kamer zamontować kamerę obrotową oraz dodatkowo kamerę stałopozycyjną.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6. Doprowadzić instalację do nowego punktu kamerowego od storny ul Kołłątaja.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7. Zamontować dodatkową kamerę stałopozycyjną w punkcie od strony ul Kołłątaja zdemontowaną z ulicy 3 Maja.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8. W punktach instalacji kamer zamontować switcha przemysłowego z zasilaniem poe.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9. Kamery stałopozycyjne skierować w kierunku przejścia na korytarz pod drogą i torami tramwajowymi.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10. Zamontować kratki ochronne na kamery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11. Dokonać konfiguracji analityki pozwalającej na:</w:t>
            </w:r>
          </w:p>
          <w:p>
            <w:pPr>
              <w:pStyle w:val="ListParagraph"/>
              <w:widowControl/>
              <w:numPr>
                <w:ilvl w:val="1"/>
                <w:numId w:val="4"/>
              </w:numPr>
              <w:suppressAutoHyphens w:val="false"/>
              <w:bidi w:val="0"/>
              <w:spacing w:lineRule="auto" w:line="240" w:before="0" w:after="0"/>
              <w:ind w:left="283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przedmiotów pozostawionych</w:t>
            </w:r>
          </w:p>
          <w:p>
            <w:pPr>
              <w:pStyle w:val="ListParagraph"/>
              <w:widowControl/>
              <w:numPr>
                <w:ilvl w:val="1"/>
                <w:numId w:val="4"/>
              </w:numPr>
              <w:suppressAutoHyphens w:val="false"/>
              <w:bidi w:val="0"/>
              <w:spacing w:lineRule="auto" w:line="240" w:before="0" w:after="0"/>
              <w:ind w:left="283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przedmiotów zabranych</w:t>
            </w:r>
          </w:p>
          <w:p>
            <w:pPr>
              <w:pStyle w:val="ListParagraph"/>
              <w:widowControl/>
              <w:numPr>
                <w:ilvl w:val="1"/>
                <w:numId w:val="4"/>
              </w:numPr>
              <w:suppressAutoHyphens w:val="false"/>
              <w:bidi w:val="0"/>
              <w:spacing w:lineRule="auto" w:line="240" w:before="0" w:after="0"/>
              <w:ind w:left="283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Gromadzenia się tłumów</w:t>
            </w:r>
          </w:p>
          <w:p>
            <w:pPr>
              <w:pStyle w:val="ListParagraph"/>
              <w:widowControl/>
              <w:numPr>
                <w:ilvl w:val="1"/>
                <w:numId w:val="4"/>
              </w:numPr>
              <w:suppressAutoHyphens w:val="false"/>
              <w:bidi w:val="0"/>
              <w:spacing w:lineRule="auto" w:line="240" w:before="0" w:after="0"/>
              <w:ind w:left="283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leżących  osób</w:t>
            </w:r>
          </w:p>
          <w:p>
            <w:pPr>
              <w:pStyle w:val="ListParagraph"/>
              <w:widowControl/>
              <w:numPr>
                <w:ilvl w:val="1"/>
                <w:numId w:val="4"/>
              </w:numPr>
              <w:suppressAutoHyphens w:val="false"/>
              <w:bidi w:val="0"/>
              <w:spacing w:lineRule="auto" w:line="240" w:before="0" w:after="0"/>
              <w:ind w:left="283" w:right="0" w:hanging="34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Wykrywanie chodzenia w kółko (szwędania)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55 Struga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Zdemontować kamerę szybkoobrotową wraz z uchwytem.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Wymienić puszkę hermetyczną.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Wymienić instalację elektryczną  i zabezpieczenie w punkcie kamerowym.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4. Dokonać spawania światłowodu w punkcie kamerowym, montaż gniazd optycznego i pomiar w kierunku punktu dystrybucyjnego. 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5. Dostarczyć i zamontować switch przemysłowy PoE PoE 4 + 1portowy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6. Zamontować dwie kamery stałopozycyjne na uchwytach słupowych.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7. Dokonać konfiguracji analityki pozwalającej na: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a. Wykrywanie kolizji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b. Wykrywanie przedmiotów pozostawionych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c. Wykrywanie przedmiotów zabranych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d. Gromadzenia się tłumów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e. Wykrywanie leżących  osób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f. Wykrywanie chodzenia w kółko (szwędania)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g. Zliczanie pojazdów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Dąbrowskiego 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Sienkiewicza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Zdemontować kamerę szybkoobrotową wraz z uchwytem.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Wymienić puszkę hermetyczną.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Wymienić instalację elektryczną  i zabezpieczenie w punkcie kamerowym.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4. Dokonać spawania światłowodu w punkcie kamerowym, montaż gniazd optycznego i pomiar w kierunku punktu dystrybucyjnego. 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5. Zamontować mufę światłowodową przelotową 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6. Dostarczyć i zamontować switch przemysłowy PoE PoE 4 + 1portowy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7. Zamontować trzy  kamery stałopozycyjne na uchwytach słupowych.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8. Dokonać konfiguracji analityki pozwalającej na: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a. Wykrywanie kolizji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b. Wykrywanie przedmiotów pozostawionych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c. Wykrywanie przedmiotów zabranych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d. Gromadzenia się tłumów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e. Wykrywanie leżących  osób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f. Wykrywanie chodzenia w kółko (szwędania)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g. Zliczanie pojazdów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Montaż 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światłowodu</w:t>
              <w:br/>
              <w:t>Dąbrowskiego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Celem realizacji prac jest zamiana sposobu transmisji bezprzewodowej na transmisję światłowodową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Uzgodnić warunki podwieszenia światłowodów z Wydziałem Infrastruktury UM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Dokonać uzbrojenia słupów wg warunków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Poprowadzić kabel trasą od słupa Straży Miejskiej u zbiegu ulic Okrzei  Sienkiewicza w kierunku ulicy Dąbrowskiego i Struga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4. Zastosować kabel lekki do linii napowietrznych o przekroju min 6j 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5. Zrealizować złącza światłowodowe w punktach: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a. Punkt Okrzei/Sienkiewicza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b. Punkt Sienkiewicza/Dąbrowskiego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c. Punkt Dąbrowskiego Struga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6. W trakcie prac wymienić kabel zasilający kamery na lżejszy spełniający parametry prądowe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7. Dokonać połączenia światłowodów w punkcie Okrzei/Sienkiewicza z włóknami dedykowanymi poprowadzonymi z punkty dystrybucyjnego MSS przy ul 3 Maja: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a. 1,2 włókno – pkt – Dąbrowskiego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b. 3,4 włókno – pkt – Struga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c. 5,6 włókno zapas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8. Uzgodnić warunki połączenia z Wydziałem Informatyki UM, połącyzć switch ze wskazanym portem 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9. Dostarczyć switch z 4 wkładkami SFP 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10. Dokonać krosowania włókien ze switchem i połączyć z punktem MSS.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11. Zostawić zapas włókien niepospawanych na końcu ul Struga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12. Zapewnić zapasy kablowe 15 m na słupach ze złączem i kamerami 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Wymiana kamery 3 Maja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Zdemontować kamerę stałopozycyjną na ul 3 Maja i zamontować ją w przejściu podziemnym Merkury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Zamontować przekazaną kamerę stałopozycyjną w tym samym punkcie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Dokonać konfiguracji analityki pozwalającej na: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a. Zliczanie pojazdów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b. Wykrywanie kolizji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c. Wykrywanie przedmiotów pozostawionych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d. Wykrywanie przedmiotów zabranych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e. Gromadzenia się tłumów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f. Wykrywanie leżących  osób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g. Wykrywanie chodzenia w kółko (szwędania)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fals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h. Konfiguracja zestawu kamer, tak by [przy lokalizacji wjazdu pojazdu, przyległa kamera obrotowa kierowała się automatycznie na ten pojazd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Kościuszki-</w:t>
            </w:r>
          </w:p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Przybylaka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Zrealizować przyłącze ziemne do studni  Miejskiej sieci szerokopasmowej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Wyprowadzić rurę HDPE na słup w kierunku kamery.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Wprowadzić metodą wdmuchiwania w mikrokanalizację kabel optyczny 6J do punktu dystrybucyjnego w FPŻ, ul, Kościuszki 3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4. Zamontować  puszkę hermetyczną na słupie z kamerą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5. Wymienić elementy instalacji elektrycznej na słupie (nowa puszka)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6. Dokonać spawania w przełącznicy w punkcie dystrybucyjnym oraz w na słupie w punkcie kamerowym.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7. Dokonać połączenia sieciowego z przełącznikiem w punkcie dystrybucyjnym do portu ustalonego z Wydziałem Informatyki.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8. Dostarczyć i zamontować mediakonwerter.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9. Połączyć mediakonwerter z kamerą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10. Poprawić i zabezpieczyć mocowania kamery na słupie.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11. Zdemontować urządzenia radiowe.</w:t>
            </w:r>
          </w:p>
        </w:tc>
      </w:tr>
      <w:tr>
        <w:trPr>
          <w:trHeight w:val="2724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Wejście Park Hallera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Wymienić instalację elektryczną  i zabezpieczenie w punkcie kamerowym.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2. Dokonać spawania światłowodu w punkcie kamerowym, montaż gniazd optycznego i pomiar w kierunku punktu dystrybucyjnego. 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Dostarczyć i zamontować mediakonwerter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4. Dokonać montażu kamery zdemontowanej na rondzie w Centrum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Przejście centrum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Zrealizować instalację dla 2 punktów kamerowych obejmujących więcej niż 1 kamerę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Dokonać wymiany aktualnego switcha na switch przemysłowy.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Usprawnić instalację elektryczną w obrębie punktów kamerowych, zainstalować zabezpieczenie.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4. Zdemontować aktualne kamery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5. W punkcie instalacji kamer zamontować kamerę obrotową oraz dodatkowo kamerę stałopozycyjną.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W punktach instalacji kamer zamontować switcha przemysłowego z zasilaniem poe.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Kamery stałopozycyjne skierować w kierunku przejścia na korytarz pod drogą i torami tramwajowymi.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Zamontować kratki ochronne na kamery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4. Dokonać konfiguracji analityki pozwalającej na: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a. Wykrywanie przedmiotów pozostawionych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b. Wykrywanie przedmiotów zabranych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c. Gromadzenia się tłumów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d. Wykrywanie leżących  osób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e. Wykrywanie chodzenia w kółko (szwędania)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Majakowskiego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Dokonać demontażu istniejącej kamery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 xml:space="preserve">Zamontować nową dostarczoną kamerę szybkoobrotową . 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Zweryfikować, i  poprawić elementy mocowania do słupa.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Zweryfikować stan okablowania zasilającego i sieciowego</w:t>
            </w:r>
          </w:p>
        </w:tc>
      </w:tr>
      <w:tr>
        <w:trPr>
          <w:trHeight w:val="1998" w:hRule="atLeast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Rondo Centrum</w:t>
            </w:r>
          </w:p>
        </w:tc>
        <w:tc>
          <w:tcPr>
            <w:tcW w:w="7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1. Zamontować hermetyczną puszkę wraz z zabezpieczeniem elektrycznym, oraz mediakonwerterem przemysłowym.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2. Dokonać spawania i pomiaru światłowodu, zamontować gniazdo w puszcze.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3. Zdemontować aktualne elementy transmisyjne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4. Zdemontować kamerę szybkoobrotową wraz z uchwytem,.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5. Zamontować kamerę wieloobiektywową.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6. Dokonać ustawień obiektywów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7. Dokonać konfiguracji analityki pozwalającej na: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a. Wykrywanie kolizji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b. Przekroczenie linii pasa drogowego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c. Wykrywanie przedmiotów pozostawionych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d. Gromadzenia się tłumów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e. Wykrywanie leżących  osób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bidi w:val="0"/>
              <w:spacing w:lineRule="auto" w:line="240" w:before="0" w:after="0"/>
              <w:ind w:left="57" w:right="0" w:hanging="0"/>
              <w:contextualSpacing/>
              <w:jc w:val="left"/>
              <w:rPr/>
            </w:pPr>
            <w:r>
              <w:rPr>
                <w:rFonts w:cs="Calibri"/>
                <w:color w:val="000000"/>
                <w:szCs w:val="22"/>
                <w:lang w:eastAsia="pl-PL"/>
              </w:rPr>
              <w:t>f.  Zliczanie pojazdów</w:t>
            </w:r>
          </w:p>
          <w:p>
            <w:pPr>
              <w:pStyle w:val="ListParagraph"/>
              <w:suppressAutoHyphens w:val="false"/>
              <w:spacing w:lineRule="auto" w:line="240"/>
              <w:ind w:left="1440" w:hanging="0"/>
              <w:jc w:val="left"/>
              <w:rPr>
                <w:rFonts w:cs="Calibri"/>
                <w:color w:val="000000"/>
                <w:szCs w:val="22"/>
                <w:lang w:eastAsia="pl-PL"/>
              </w:rPr>
            </w:pPr>
            <w:r>
              <w:rPr>
                <w:rFonts w:cs="Calibri"/>
                <w:color w:val="000000"/>
                <w:szCs w:val="22"/>
                <w:lang w:eastAsia="pl-PL"/>
              </w:rPr>
            </w:r>
          </w:p>
        </w:tc>
      </w:tr>
    </w:tbl>
    <w:p>
      <w:pPr>
        <w:pStyle w:val="Normal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u w:val="single"/>
        </w:rPr>
        <w:t>Dla każdej zamontowanej kamery należy:</w:t>
      </w:r>
    </w:p>
    <w:p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Aktywować ja  w systemie BVMS.</w:t>
      </w:r>
    </w:p>
    <w:p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Dokonać parametryzacji zabezpieczeń według wskazań Zamawiającego.</w:t>
      </w:r>
    </w:p>
    <w:p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Dokonać konfiguracji zdarzeń analitycznych w centrum monitoringu.</w:t>
      </w:r>
    </w:p>
    <w:p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  <w:u w:val="none"/>
        </w:rPr>
      </w:pPr>
      <w:r>
        <w:rPr>
          <w:sz w:val="22"/>
          <w:szCs w:val="22"/>
          <w:u w:val="none"/>
        </w:rPr>
        <w:t>Przeszkolić pracowników centrum z zakresu obsługi zdarzeń analitycznych na nowych kamerach.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agwek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Dostawa kamer monitoringu wizyjnego: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Kamery szybko obrotowe: 1 szt.</w:t>
      </w:r>
    </w:p>
    <w:p>
      <w:pPr>
        <w:pStyle w:val="ListParagraph"/>
        <w:numPr>
          <w:ilvl w:val="0"/>
          <w:numId w:val="1"/>
        </w:numPr>
        <w:rPr/>
      </w:pPr>
      <w:r>
        <w:rPr/>
        <w:t>Kamery obrotowe wewnętrzne: 4 szt</w:t>
      </w:r>
    </w:p>
    <w:p>
      <w:pPr>
        <w:pStyle w:val="ListParagraph"/>
        <w:numPr>
          <w:ilvl w:val="0"/>
          <w:numId w:val="1"/>
        </w:numPr>
        <w:rPr/>
      </w:pPr>
      <w:r>
        <w:rPr/>
        <w:t>Kamery stałopozycyjne: 11 szt</w:t>
      </w:r>
    </w:p>
    <w:p>
      <w:pPr>
        <w:pStyle w:val="ListParagraph"/>
        <w:numPr>
          <w:ilvl w:val="0"/>
          <w:numId w:val="1"/>
        </w:numPr>
        <w:rPr/>
      </w:pPr>
      <w:r>
        <w:rPr/>
        <w:t>Kamery wielobiektywowe: 1 szt.</w:t>
      </w:r>
    </w:p>
    <w:p>
      <w:pPr>
        <w:pStyle w:val="ListParagraph"/>
        <w:numPr>
          <w:ilvl w:val="0"/>
          <w:numId w:val="1"/>
        </w:numPr>
        <w:rPr/>
      </w:pPr>
      <w:r>
        <w:rPr/>
        <w:t>Licencje do kamer: 8</w:t>
      </w:r>
    </w:p>
    <w:p>
      <w:pPr>
        <w:pStyle w:val="ListParagraph"/>
        <w:numPr>
          <w:ilvl w:val="0"/>
          <w:numId w:val="1"/>
        </w:numPr>
        <w:rPr/>
      </w:pPr>
      <w:r>
        <w:rPr/>
        <w:t>Urządzenia transmisji danych</w:t>
      </w:r>
    </w:p>
    <w:p>
      <w:pPr>
        <w:pStyle w:val="ListParagraph"/>
        <w:numPr>
          <w:ilvl w:val="1"/>
          <w:numId w:val="1"/>
        </w:numPr>
        <w:rPr/>
      </w:pPr>
      <w:r>
        <w:rPr/>
        <w:t>Mediakonwertery: 3 szt.</w:t>
      </w:r>
    </w:p>
    <w:p>
      <w:pPr>
        <w:pStyle w:val="ListParagraph"/>
        <w:numPr>
          <w:ilvl w:val="1"/>
          <w:numId w:val="1"/>
        </w:numPr>
        <w:rPr/>
      </w:pPr>
      <w:r>
        <w:rPr/>
        <w:t>Switche 4 SFP 2 portowe: 1 szt.</w:t>
      </w:r>
    </w:p>
    <w:p>
      <w:pPr>
        <w:pStyle w:val="ListParagraph"/>
        <w:numPr>
          <w:ilvl w:val="1"/>
          <w:numId w:val="1"/>
        </w:numPr>
        <w:rPr/>
      </w:pPr>
      <w:r>
        <w:rPr/>
        <w:t>Switche przemysołwe 4 portowe: 8 szt.</w:t>
      </w:r>
    </w:p>
    <w:p>
      <w:pPr>
        <w:pStyle w:val="ListParagraph"/>
        <w:numPr>
          <w:ilvl w:val="1"/>
          <w:numId w:val="1"/>
        </w:numPr>
        <w:rPr/>
      </w:pPr>
      <w:r>
        <w:rPr/>
        <w:t>Wkładki SFP 100/1000 15 szt.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Niezbędną  liczbę zasilaczy do kamer, które nie są zasilane przez PoE oraz  zasilacze do switchy przemysłowych.</w:t>
      </w:r>
    </w:p>
    <w:p>
      <w:pPr>
        <w:pStyle w:val="ListParagraph"/>
        <w:numPr>
          <w:ilvl w:val="0"/>
          <w:numId w:val="1"/>
        </w:numPr>
        <w:rPr/>
      </w:pPr>
      <w:r>
        <w:rPr/>
        <w:t>Puszki hermetyczne z wyposażeniem: 6 szt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Bezpiecznik </w:t>
      </w:r>
    </w:p>
    <w:p>
      <w:pPr>
        <w:pStyle w:val="ListParagraph"/>
        <w:numPr>
          <w:ilvl w:val="1"/>
          <w:numId w:val="1"/>
        </w:numPr>
        <w:rPr/>
      </w:pPr>
      <w:r>
        <w:rPr/>
        <w:t>Zasilacz prądu stałego dostosowany do ilości kamer</w:t>
      </w:r>
    </w:p>
    <w:p>
      <w:pPr>
        <w:pStyle w:val="ListParagraph"/>
        <w:numPr>
          <w:ilvl w:val="1"/>
          <w:numId w:val="1"/>
        </w:numPr>
        <w:rPr/>
      </w:pPr>
      <w:r>
        <w:rPr/>
        <w:t>Uchwyty na gniazdo światłowdowe</w:t>
      </w:r>
    </w:p>
    <w:p>
      <w:pPr>
        <w:pStyle w:val="ListParagraph"/>
        <w:numPr>
          <w:ilvl w:val="1"/>
          <w:numId w:val="1"/>
        </w:numPr>
        <w:rPr/>
      </w:pPr>
      <w:r>
        <w:rPr/>
        <w:t>Uchwyty na switch lub mediakonwerter</w:t>
      </w:r>
    </w:p>
    <w:p>
      <w:pPr>
        <w:pStyle w:val="ListParagraph"/>
        <w:numPr>
          <w:ilvl w:val="1"/>
          <w:numId w:val="1"/>
        </w:numPr>
        <w:rPr/>
      </w:pPr>
      <w:r>
        <w:rPr/>
        <w:t>Dławiki zapewniające szczelność</w:t>
      </w:r>
    </w:p>
    <w:p>
      <w:pPr>
        <w:pStyle w:val="Normal"/>
        <w:suppressAutoHyphens w:val="false"/>
        <w:spacing w:lineRule="auto" w:line="259" w:before="0" w:after="160"/>
        <w:jc w:val="lef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  <w:r>
        <w:br w:type="page"/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Do realizacji zadania należy zastosować kamery o minimalnych parametrach wskazanych poniżej:</w:t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1. Kamera szybkoobrotowa kopułkowa z przeznaczeniem do montażu w przejściach podziemnych</w:t>
      </w:r>
    </w:p>
    <w:tbl>
      <w:tblPr>
        <w:tblW w:w="9523" w:type="dxa"/>
        <w:jc w:val="left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23"/>
        <w:gridCol w:w="7199"/>
      </w:tblGrid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pl-PL"/>
              </w:rPr>
              <w:t>Parametr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pl-PL"/>
              </w:rPr>
              <w:t>Wymagania minimalne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Budowa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Kamera szybkoobrotowa kopułowa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Rozdzielczość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1920 x 1080p60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Przetwornik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CMOS 1/ 2,8"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Zoom optyczny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12x (5,3 - 64mm)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Zoom cyfrowy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16x</w:t>
            </w:r>
          </w:p>
        </w:tc>
      </w:tr>
      <w:tr>
        <w:trPr>
          <w:trHeight w:val="510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Czułość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Nie gorsza niż 0,05 lux w trybie dziennym i 0,01 lux w trybie nocnym dla obrazu 30IRE, przy migawce 1/30 s, reflektancji sceny 89%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Stosunek sygnał/szum 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&gt;55 dB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Zakres dynamiki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94 dB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Kompresja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H.265, H.264, M-JPEG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Obrót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360°, ciągły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Prędkość obrotu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Zmienna 0,1°/s – 120 °/s, </w:t>
            </w:r>
          </w:p>
        </w:tc>
      </w:tr>
      <w:tr>
        <w:trPr>
          <w:trHeight w:val="76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Obsługiwane protokoły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IPv4, IPv6, UDP, TCP, HTTP, HTTPS, RTP/RTCP, IGMP V2/V3, ICMP, ICMPv6, RTSP,FTP, ARP, DHCP, APIPA, NTP (SNTP), SNMP (V1, V3, MIB-II),802.1x, DNS, DNSv6, DDNS, SMTP, iSCSI,UPnP (SSDP), DiffServ (QoS), LLDP, SOAP,Dropbox™, CHAP, digest authentication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SimSun" w:cs="Arial"/>
                <w:sz w:val="21"/>
                <w:szCs w:val="21"/>
                <w:lang w:val="pl-PL" w:eastAsia="zh-CN"/>
              </w:rPr>
              <w:t>Bezpieczeństwo danych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Wsparcie uwierzytelnienia poprzez protokół EAP-TLS 1.0 także z możliwością wgrania certyfikatu w zakresie infrastruktury klucza publicznego do szyfrowania cyfrowego dostarczonego przez producenta kamery, tworzonego przez użytkownika  oraz certyfikowane rozwiązania firm 3-ch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SimSun" w:cs="Arial"/>
                <w:sz w:val="21"/>
                <w:szCs w:val="21"/>
                <w:lang w:val="pl-PL" w:eastAsia="zh-CN"/>
              </w:rPr>
            </w:pPr>
            <w:r>
              <w:rPr>
                <w:rFonts w:eastAsia="SimSun" w:cs="Arial"/>
                <w:sz w:val="21"/>
                <w:szCs w:val="21"/>
                <w:lang w:val="pl-PL" w:eastAsia="zh-CN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Wsparcie szyfrowania na poziomie sprzętowym tj fabrycznie zabudowany moduł TPM (Trusted Platform Module), który wykorzystuje klucz kryptograficzny do ochrony wszystkich zarejestrowanych danych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Autentykacja wideo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Znak wodny, SHA-1, SHA-256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Łącze sieciowe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RJ-45 100 Base-TX Ethernet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Strumienie wideo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generowania 3 strumieni wideo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Inteligentna analiza obrazów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Wbudowana w kamerę z możliwością równoległej analizy do 16 reguł alarmowych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Programowana niezależnie dla co najmniej 8 prepozycji kamery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Analizowane algorytmy:</w:t>
            </w:r>
          </w:p>
          <w:p>
            <w:pPr>
              <w:pStyle w:val="ListParagraph"/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wykrycie obiektu</w:t>
            </w:r>
          </w:p>
          <w:p>
            <w:pPr>
              <w:pStyle w:val="ListParagraph"/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przekroczenie linii</w:t>
            </w:r>
          </w:p>
          <w:p>
            <w:pPr>
              <w:pStyle w:val="ListParagraph"/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kierunkowość ruchu</w:t>
            </w:r>
          </w:p>
          <w:p>
            <w:pPr>
              <w:pStyle w:val="ListParagraph"/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porzucenie obiektu</w:t>
            </w:r>
          </w:p>
          <w:p>
            <w:pPr>
              <w:pStyle w:val="ListParagraph"/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zmiana stanu obiektu</w:t>
            </w:r>
          </w:p>
          <w:p>
            <w:pPr>
              <w:pStyle w:val="ListParagraph"/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zliczanie – przekroczenie linii</w:t>
            </w:r>
          </w:p>
          <w:p>
            <w:pPr>
              <w:pStyle w:val="ListParagraph"/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zliczanie obiektów w określonych strefach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Zaawansowane funkcje w zakresie kalibracji i monitorowania obiektu takie jak np. ustalone proporcje obiektu, kolor obiektu oraz kierunek i prędkość jego przemieszczania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prezentowania statystyki dla wybranego pola lub obiektu z możliwością odczytu rzeczywistych wartości takich jak prędkości obiektu, jego proporcje i kolor czy kierunek jego poruszania</w:t>
            </w:r>
          </w:p>
        </w:tc>
      </w:tr>
      <w:tr>
        <w:trPr>
          <w:trHeight w:val="285" w:hRule="atLeast"/>
        </w:trPr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analizy materiału zarejestrowanego na podstawie metadanych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Zapis lokalny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Wbudowany slot karty SD/microSD (obsługa kart do 2 TB)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Zgodność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ONVIF Profile S, ONVIF Profile G, ONVIF Profile T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Maski prywatności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Kopułka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Przeźroczysta, wandaloodporna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Wandaloodporność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IK10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Obudowa zewnętrzna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IP65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Temperatura pracy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-10 - +55 st. C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Zasilanie 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Sieciowe lub PoE</w:t>
            </w:r>
          </w:p>
        </w:tc>
      </w:tr>
      <w:tr>
        <w:trPr>
          <w:trHeight w:val="285" w:hRule="atLeast"/>
        </w:trPr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Gwarancja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3 lata</w:t>
            </w:r>
          </w:p>
        </w:tc>
      </w:tr>
    </w:tbl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2. Kamera szybkoobrotowa kopułkowa z przeznaczeniem poza przejściami podziemnymi</w:t>
      </w:r>
    </w:p>
    <w:tbl>
      <w:tblPr>
        <w:tblW w:w="9583" w:type="dxa"/>
        <w:jc w:val="left"/>
        <w:tblInd w:w="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83"/>
        <w:gridCol w:w="7199"/>
      </w:tblGrid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pl-PL"/>
              </w:rPr>
              <w:t>Parametr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pl-PL"/>
              </w:rPr>
              <w:t>Wymagania minimalne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Budowa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Kamera szybkoobrotowa kopułowa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Rozdzielczość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1920 x 1080p30 lub 1280 x 720p60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Przetwornik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CMOS 1/ 2,8"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Zoom optyczny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30x (4,3 - 129mm)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Zoom cyfrowy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12x</w:t>
            </w:r>
          </w:p>
        </w:tc>
      </w:tr>
      <w:tr>
        <w:trPr>
          <w:trHeight w:val="510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Czułość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Nie gorsza niż 0,01 lux w trybie dziennym i 0,001 lux w trybie nocnym dla obrazu 30IRE, przy migawce 1/30 s, reflektancji sceny 89%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Stosunek sygnał/szum 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&gt;55 dB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Zakres dynamiki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120 dB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Kompresja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H.265, H.264, M-JPEG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Obrót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360°, ciągły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Pochylenie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Do 18° ponad poziom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Prędkość obrotu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Zmienna 0,1°/s – 400 °/s, przy zmianie prepozycji 400°/s</w:t>
            </w:r>
          </w:p>
        </w:tc>
      </w:tr>
      <w:tr>
        <w:trPr>
          <w:trHeight w:val="76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Obsługiwane protokoły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RTP, Telnet, UDP, TCP, IP, HTTP, HTTPS, FTP, DHCP, IGMP V2/V3, ICMP, ARP, SMTP, SNTP, SNMP, RTSP, 802.1x, iSCSI, DDNS, UPnP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SimSun" w:cs="Arial"/>
                <w:sz w:val="21"/>
                <w:szCs w:val="21"/>
                <w:lang w:val="pl-PL" w:eastAsia="zh-CN"/>
              </w:rPr>
              <w:t>Bezpieczeństwo danych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Wsparcie uwierzytelnienia poprzez protokół EAP-TLS 1.0 także z możliwością wgrania certyfikatu w zakresie infrastruktury klucza publicznego do szyfrowania cyfrowego dostarczonego przez producenta kamery, tworzonego przez użytkownika  oraz certyfikowane rozwiązania firm 3-ch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SimSun" w:cs="Arial"/>
                <w:sz w:val="21"/>
                <w:szCs w:val="21"/>
                <w:lang w:val="pl-PL" w:eastAsia="zh-CN"/>
              </w:rPr>
            </w:pPr>
            <w:r>
              <w:rPr>
                <w:rFonts w:eastAsia="SimSun" w:cs="Arial"/>
                <w:sz w:val="21"/>
                <w:szCs w:val="21"/>
                <w:lang w:val="pl-PL" w:eastAsia="zh-CN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Wsparcie szyfrowania na poziomie sprzętowym tj fabrycznie zabudowany moduł TPM (Trusted Platform Module), który wykorzystuje klucz kryptograficzny do ochrony wszystkich zarejestrowanych danych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Autentykacja wideo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Znak wodny, SHA-1, SHA-256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Łącze sieciowe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RJ-45 100 Base-TX Ethernet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Strumienie wideo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generowania 4 strumieni wideo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Inteligentna analiza obrazów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Wbudowana w kamerę z możliwością równoległej analizy do 16 reguł alarmowych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Programowana niezależnie dla co najmniej 8 prepozycji kamery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Analizowane algorytmy: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wykrycie obiektu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przekroczenie linii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kierunkowość ruchu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porzucenie obiektu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zmiana stanu obiektu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zliczanie – przekroczenie linii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zliczanie obiektów w określonych strefach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Zaawansowane funkcje w zakresie kalibracji i monitorowania obiektu takie jak np. ustalone proporcje obiektu, kolor obiektu oraz kierunek i prędkość jego przemieszczania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pobierania, instalowania i uruchamiania aplikacji innych producentów na kamerze. Aplikację są dostępne dla każdego ze wskazanego przez producenta bezpiecznego sklepu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analizy materiału zarejestrowanego na podstawie metadanych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Zapis lokalny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Wbudowany slot karty SD/microSD (obsługa kart do 2 TB)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Pre-alarm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Od 5s do 3h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Zgodność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ONVIF Profile S, ONVIF Profile G, ONVIF Profile T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Wejście alarmowe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Wyjście przekaźnikowe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Wejście audio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Programowalne prepozycje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256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Trasy dozorowe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Maski prywatności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Kopułka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Przeźroczysta, wandaloodporna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Obudowa zewnętrzna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IP66, IK10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Temperatura pracy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-40 - +55 st. C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Zasilanie 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Sieciowe lub PoE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Gwarancja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3 lata</w:t>
            </w:r>
          </w:p>
        </w:tc>
      </w:tr>
    </w:tbl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3. Kamera kopułkowa wieloprzetwornikowa</w:t>
      </w:r>
    </w:p>
    <w:tbl>
      <w:tblPr>
        <w:tblW w:w="9583" w:type="dxa"/>
        <w:jc w:val="left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83"/>
        <w:gridCol w:w="7199"/>
      </w:tblGrid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pl-PL"/>
              </w:rPr>
              <w:t>Parametr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pl-PL"/>
              </w:rPr>
              <w:t>Wymagania minimalne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Budowa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Kamera </w:t>
            </w:r>
            <w:r>
              <w:rPr>
                <w:rFonts w:cs="Arial"/>
                <w:sz w:val="21"/>
                <w:szCs w:val="21"/>
              </w:rPr>
              <w:t>kopułkowa wieloprzetwornikowa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Rozdzielczość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4x 2592x1944</w:t>
            </w:r>
            <w:bookmarkStart w:id="0" w:name="_GoBack"/>
            <w:bookmarkEnd w:id="0"/>
            <w:r>
              <w:rPr>
                <w:rFonts w:cs="Arial"/>
                <w:sz w:val="21"/>
                <w:szCs w:val="21"/>
                <w:lang w:val="pl-PL"/>
              </w:rPr>
              <w:t xml:space="preserve"> p30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Przetwornik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4x CMOS 1/2,7"</w:t>
            </w:r>
          </w:p>
        </w:tc>
      </w:tr>
      <w:tr>
        <w:trPr>
          <w:trHeight w:val="510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Czułość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Nie gorsza niż 0,091 lux w trybie dziennym i 0,012 lux w trybie nocnym dla obrazu 30IRE, reflektancji sceny 89%, F1.9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Zakres dynamiki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120 dB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Kompresja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H.264; H.265; M- JPEG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Obszary ROI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Do 8 obszarów z niezależnymi ustawieniami jakości kodowania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Stosunek sygnał/szum 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&gt;55 dB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Migawka 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Tryby migawki: automatyczna, wybierana ręcznie. 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Obiektyw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Cztery obiektywy zintegrowane 3,7 – 7,7 mm ze zdalną regulacją zoom i autofocusem</w:t>
            </w:r>
          </w:p>
        </w:tc>
      </w:tr>
      <w:tr>
        <w:trPr>
          <w:trHeight w:val="76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Obsługiwane protokoły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IPv4, IPv6, UDP, TCP, HTTP, HTTPS, RTP/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RTCP, IGMP V2/V3, ICMP, ICMPv6, RTSP,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FTP, ARP, DHCP, APIPA (Auto-IP, link local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address), NTP (SNTP), SNMP (V1, V3, MIB-II),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802.1x, DNS, DNSv6, DDNS, SMTP, iSCSI,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UPnP (SSDP), DiffServ (QoS), LLDP, SOAP,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Dropbox™, CHAP, digest authentication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SimSun" w:cs="Arial"/>
                <w:sz w:val="21"/>
                <w:szCs w:val="21"/>
                <w:lang w:val="pl-PL" w:eastAsia="zh-CN"/>
              </w:rPr>
              <w:t>Bezpieczeństwo danych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Wsparcie uwierzytelnienia poprzez protokół EAP-TLS 1.2 także z możliwością wgrania certyfikatu w zakresie infrastruktury klucza publicznego do szyfrowania cyfrowego dostarczonego przez producenta kamery, tworzonego przez użytkownika  oraz certyfikowane rozwiązania firm 3-ch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SimSun" w:cs="Arial"/>
                <w:sz w:val="21"/>
                <w:szCs w:val="21"/>
                <w:lang w:val="pl-PL" w:eastAsia="zh-CN"/>
              </w:rPr>
            </w:pPr>
            <w:r>
              <w:rPr>
                <w:rFonts w:eastAsia="SimSun" w:cs="Arial"/>
                <w:sz w:val="21"/>
                <w:szCs w:val="21"/>
                <w:lang w:val="pl-PL" w:eastAsia="zh-CN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Wsparcie szyfrowania na poziomie sprzętowym tj fabrycznie zabudowany moduł TPM (Trusted Platform Module), który wykorzystuje klucz kryptograficzny do ochrony wszystkich zarejestrowanych danych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Autentykacja wideo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Znak wodny, SHA-1, SHA-256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Łącze sieciowe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RJ-45 100 Base-TX Ethernet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Strumienie wideo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generowania 4 strumieni wideo dla każdego z przetworników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Inteligentna analiza obrazów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Wbudowana w kamerę z możliwością równoległej analizy do 16 reguł alarmowych dla każdego z przetworników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lang w:val="pl-PL"/>
              </w:rPr>
            </w:pPr>
            <w:r>
              <w:rPr>
                <w:rFonts w:cs="Arial"/>
                <w:sz w:val="21"/>
                <w:szCs w:val="21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Analizowane algorytmy: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wykrycie obiektu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przekroczenie linii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kierunkowość ruchu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porzucenie obiektu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zmiana stanu obiektu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zliczanie – przekroczenie linii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0" w:hanging="0"/>
              <w:rPr>
                <w:rFonts w:ascii="Calibri" w:hAnsi="Calibri"/>
                <w:sz w:val="21"/>
                <w:szCs w:val="21"/>
              </w:rPr>
            </w:pPr>
            <w:r>
              <w:rPr>
                <w:rFonts w:eastAsia="Calibri" w:cs="Arial" w:eastAsiaTheme="minorHAnsi"/>
                <w:sz w:val="21"/>
                <w:szCs w:val="21"/>
                <w:lang w:eastAsia="en-US"/>
              </w:rPr>
              <w:t>- zliczanie obiektów w określonych strefach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highlight w:val="green"/>
                <w:lang w:val="pl-PL"/>
              </w:rPr>
            </w:pPr>
            <w:r>
              <w:rPr>
                <w:rFonts w:cs="Arial"/>
                <w:sz w:val="21"/>
                <w:szCs w:val="21"/>
                <w:highlight w:val="green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Zaawansowane funkcje w zakresie kalibracji i monitorowania obiektu takie jak np. ustalone proporcje obiektu, kolor obiektu oraz kierunek i prędkość jego przemieszczania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highlight w:val="green"/>
                <w:lang w:val="pl-PL"/>
              </w:rPr>
            </w:pPr>
            <w:r>
              <w:rPr>
                <w:rFonts w:cs="Arial"/>
                <w:sz w:val="21"/>
                <w:szCs w:val="21"/>
                <w:highlight w:val="green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prezentowania statystyki dla wybranego pola lub obiektu z możliwością odczytu rzeczywistych wartości takich jak prędkości obiektu, jego proporcje i kolor czy kierunek jego poruszania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highlight w:val="green"/>
                <w:lang w:val="pl-PL"/>
              </w:rPr>
            </w:pPr>
            <w:r>
              <w:rPr>
                <w:rFonts w:cs="Arial"/>
                <w:sz w:val="21"/>
                <w:szCs w:val="21"/>
                <w:highlight w:val="green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Możliwość analizy materiału zarejestrowanego na podstawie metadanych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Arial"/>
                <w:sz w:val="21"/>
                <w:szCs w:val="21"/>
                <w:highlight w:val="green"/>
                <w:lang w:val="pl-PL"/>
              </w:rPr>
            </w:pPr>
            <w:r>
              <w:rPr>
                <w:rFonts w:cs="Arial"/>
                <w:sz w:val="21"/>
                <w:szCs w:val="21"/>
                <w:highlight w:val="green"/>
                <w:lang w:val="pl-PL"/>
              </w:rPr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Funkcja uczenia maszynowego, umożliwiająca samodzielne tworzenie dowolnych detektorów na podstawie obserwowanych przez kamerę kształtów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Zapis lokalny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Wbudowany slot kart SD (obsługa kart do 2 TB)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Pre-alarm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5s (w kamerze)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Zgodność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ONVIF Profile S; Profile G; Profile T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Wejście alarmowe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Wyjście przekaźnikowe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Wejście audio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Wyjście audio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Maski prywatności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Temperatura pracy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-50 - +55 ºC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Stopień ochrony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IP66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Wandaloodporność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IK10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 xml:space="preserve">Zasilanie 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Sieciowe lub PoE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Gwarancja</w:t>
            </w:r>
          </w:p>
        </w:tc>
        <w:tc>
          <w:tcPr>
            <w:tcW w:w="7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pl-PL"/>
              </w:rPr>
              <w:t>3 lata</w:t>
            </w:r>
          </w:p>
        </w:tc>
      </w:tr>
    </w:tbl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4. Kamera stałopozycyjna typu bullet</w:t>
      </w:r>
    </w:p>
    <w:tbl>
      <w:tblPr>
        <w:tblW w:w="9634" w:type="dxa"/>
        <w:jc w:val="left"/>
        <w:tblInd w:w="29" w:type="dxa"/>
        <w:tblBorders>
          <w:top w:val="outset" w:sz="2" w:space="0" w:color="00000A"/>
          <w:left w:val="outset" w:sz="2" w:space="0" w:color="00000A"/>
          <w:bottom w:val="outset" w:sz="2" w:space="0" w:color="00000A"/>
          <w:right w:val="outset" w:sz="2" w:space="0" w:color="00000A"/>
          <w:insideH w:val="outset" w:sz="2" w:space="0" w:color="00000A"/>
          <w:insideV w:val="outset" w:sz="2" w:space="0" w:color="00000A"/>
        </w:tblBorders>
        <w:tblCellMar>
          <w:top w:w="0" w:type="dxa"/>
          <w:left w:w="21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33"/>
        <w:gridCol w:w="7200"/>
      </w:tblGrid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>Parametr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  <w:lang w:eastAsia="zh-CN"/>
              </w:rPr>
              <w:t>Wymagania minimalne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Budowa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Kamera stałopozycyjna typu bullet z podświetlaczem IR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Rozdzielczość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3072 x 1728 pikseli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Poklatkowość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30 kl/s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Przetwornik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CMOS 1/ 2,9"</w:t>
            </w:r>
          </w:p>
        </w:tc>
      </w:tr>
      <w:tr>
        <w:trPr>
          <w:trHeight w:val="492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Obiektyw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Zintegrowany 2,7 - 12 mm ze zdalną regulacją zoom i autofocusem</w:t>
            </w:r>
          </w:p>
        </w:tc>
      </w:tr>
      <w:tr>
        <w:trPr>
          <w:trHeight w:val="510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Czułość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Nie gorsza niż 0,369 lux w trybie dziennym dla obrazu 30IRE, reflektancji sceny 89%, F1.3. W trybie nocnym automatyczna praca ze zintegrowanym podś</w:t>
            </w:r>
            <w:bookmarkStart w:id="1" w:name="_GoBack1"/>
            <w:bookmarkEnd w:id="1"/>
            <w:r>
              <w:rPr>
                <w:rFonts w:cs="Arial"/>
                <w:sz w:val="21"/>
                <w:szCs w:val="21"/>
                <w:lang w:eastAsia="zh-CN"/>
              </w:rPr>
              <w:t>wietlaczem IR</w:t>
            </w:r>
          </w:p>
        </w:tc>
      </w:tr>
      <w:tr>
        <w:trPr>
          <w:trHeight w:val="424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Kompresja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H.265, H.264, M</w:t>
              <w:noBreakHyphen/>
              <w:t>JPEG</w:t>
            </w:r>
          </w:p>
        </w:tc>
      </w:tr>
      <w:tr>
        <w:trPr>
          <w:trHeight w:val="76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Obsługiwane protokoły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RTP, UDP, TCP, IP, HTTP, HTTPS, FTP, DHCP, IGMP V2/V3, ICMP, ARP, SMTP, SNTP, SNMP, RTSP, 802.1x, iSCSI, DDNS, UPnP</w:t>
            </w:r>
          </w:p>
        </w:tc>
      </w:tr>
      <w:tr>
        <w:trPr>
          <w:trHeight w:val="285" w:hRule="atLeast"/>
        </w:trPr>
        <w:tc>
          <w:tcPr>
            <w:tcW w:w="2433" w:type="dxa"/>
            <w:vMerge w:val="restart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Bezpieczeństwo danych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Wsparcie uwierzytelnienia poprzez protokół EAP-TLS 1.0 także z możliwością wgrania certyfikatu w zakresie infrastruktury klucza publicznego do szyfrowania cyfrowego dostarczonego przez producenta kamery, tworzonego przez użytkownika  oraz certyfikowane rozwiązania firm 3-ch</w:t>
            </w:r>
          </w:p>
        </w:tc>
      </w:tr>
      <w:tr>
        <w:trPr>
          <w:trHeight w:val="285" w:hRule="atLeast"/>
        </w:trPr>
        <w:tc>
          <w:tcPr>
            <w:tcW w:w="2433" w:type="dxa"/>
            <w:vMerge w:val="continue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-12" w:type="dxa"/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Wsparcie szyfrowania na poziomie sprzętowym tj fabrycznie zabudowany moduł TPM (Trusted Platform Module), który wykorzystuje klucz kryptograficzny do ochrony wszystkich zarejestrowanych danych</w:t>
            </w:r>
          </w:p>
        </w:tc>
      </w:tr>
      <w:tr>
        <w:trPr>
          <w:trHeight w:val="349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Autentykacja wideo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Znak wodny, SHA-1, SHA-256</w:t>
            </w:r>
          </w:p>
        </w:tc>
      </w:tr>
      <w:tr>
        <w:trPr>
          <w:trHeight w:val="349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Łącze sieciowe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RJ-45 100 Base-TX Ethernet</w:t>
            </w:r>
          </w:p>
        </w:tc>
      </w:tr>
      <w:tr>
        <w:trPr>
          <w:trHeight w:val="349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Strumienie wideo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Możliwość generowania co najmniej 2 strumieni wideo</w:t>
            </w:r>
          </w:p>
        </w:tc>
      </w:tr>
      <w:tr>
        <w:trPr>
          <w:trHeight w:val="349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Migawka 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Tryby migawki: automatyczna, wybierana ręcznie. </w:t>
            </w:r>
          </w:p>
        </w:tc>
      </w:tr>
      <w:tr>
        <w:trPr>
          <w:trHeight w:val="337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Zakres dynamiki 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120 dB</w:t>
            </w:r>
          </w:p>
        </w:tc>
      </w:tr>
      <w:tr>
        <w:trPr>
          <w:trHeight w:val="284" w:hRule="atLeast"/>
        </w:trPr>
        <w:tc>
          <w:tcPr>
            <w:tcW w:w="2433" w:type="dxa"/>
            <w:vMerge w:val="restart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Inteligentna analiza obrazu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Wbudowana w kamerę</w:t>
            </w:r>
          </w:p>
        </w:tc>
      </w:tr>
      <w:tr>
        <w:trPr>
          <w:trHeight w:val="284" w:hRule="atLeast"/>
        </w:trPr>
        <w:tc>
          <w:tcPr>
            <w:tcW w:w="2433" w:type="dxa"/>
            <w:vMerge w:val="continue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-12" w:type="dxa"/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cs="Arial"/>
                <w:sz w:val="21"/>
                <w:szCs w:val="21"/>
                <w:lang w:eastAsia="zh-CN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Analizowane algorytmy: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• </w:t>
            </w:r>
            <w:r>
              <w:rPr>
                <w:rFonts w:cs="Arial"/>
                <w:sz w:val="21"/>
                <w:szCs w:val="21"/>
                <w:lang w:eastAsia="zh-CN"/>
              </w:rPr>
              <w:t>wykrycie obiektu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• </w:t>
            </w:r>
            <w:r>
              <w:rPr>
                <w:rFonts w:cs="Arial"/>
                <w:sz w:val="21"/>
                <w:szCs w:val="21"/>
                <w:lang w:eastAsia="zh-CN"/>
              </w:rPr>
              <w:t>przekroczenie linii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• </w:t>
            </w:r>
            <w:r>
              <w:rPr>
                <w:rFonts w:cs="Arial"/>
                <w:sz w:val="21"/>
                <w:szCs w:val="21"/>
                <w:lang w:eastAsia="zh-CN"/>
              </w:rPr>
              <w:t>kierunkowość ruchu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• </w:t>
            </w:r>
            <w:r>
              <w:rPr>
                <w:rFonts w:cs="Arial"/>
                <w:sz w:val="21"/>
                <w:szCs w:val="21"/>
                <w:lang w:eastAsia="zh-CN"/>
              </w:rPr>
              <w:t>porzucenie obiektu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• </w:t>
            </w:r>
            <w:r>
              <w:rPr>
                <w:rFonts w:cs="Arial"/>
                <w:sz w:val="21"/>
                <w:szCs w:val="21"/>
                <w:lang w:eastAsia="zh-CN"/>
              </w:rPr>
              <w:t>usunięcie obiektu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• </w:t>
            </w:r>
            <w:r>
              <w:rPr>
                <w:rFonts w:cs="Arial"/>
                <w:sz w:val="21"/>
                <w:szCs w:val="21"/>
                <w:lang w:eastAsia="zh-CN"/>
              </w:rPr>
              <w:t>sabotaż kamery</w:t>
            </w:r>
          </w:p>
        </w:tc>
      </w:tr>
      <w:tr>
        <w:trPr>
          <w:trHeight w:val="284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Zapis lokalny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Wbudowany slot karty SD/microSD</w:t>
            </w:r>
          </w:p>
        </w:tc>
      </w:tr>
      <w:tr>
        <w:trPr>
          <w:trHeight w:val="284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Zasięg wbudowanego oświetlacza IR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60m</w:t>
            </w:r>
          </w:p>
        </w:tc>
      </w:tr>
      <w:tr>
        <w:trPr>
          <w:trHeight w:val="254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Zgodność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en-US" w:eastAsia="zh-CN"/>
              </w:rPr>
              <w:t>ONVIF (Open Network Video Interface Forum)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Wejście alarmowe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Wyjście przekaźnikowe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Wejście/wyjście audio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Obudowa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IP67, IK10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Temperatura pracy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-40 - +60 st C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 xml:space="preserve">Zasilanie 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Sieciowe lub PoE</w:t>
            </w:r>
          </w:p>
        </w:tc>
      </w:tr>
      <w:tr>
        <w:trPr>
          <w:trHeight w:val="285" w:hRule="atLeast"/>
        </w:trPr>
        <w:tc>
          <w:tcPr>
            <w:tcW w:w="2433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Gwarancja</w:t>
            </w:r>
          </w:p>
        </w:tc>
        <w:tc>
          <w:tcPr>
            <w:tcW w:w="720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  <w:insideH w:val="outset" w:sz="2" w:space="0" w:color="00000A"/>
              <w:insideV w:val="outset" w:sz="2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eastAsia="zh-CN"/>
              </w:rPr>
              <w:t>3 lata</w:t>
            </w:r>
          </w:p>
        </w:tc>
      </w:tr>
    </w:tbl>
    <w:p>
      <w:pPr>
        <w:pStyle w:val="Normal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Minimalne wymagania dla urządzeń transmisji danych:</w:t>
      </w:r>
    </w:p>
    <w:p>
      <w:pPr>
        <w:pStyle w:val="Normal"/>
        <w:rPr/>
      </w:pPr>
      <w:r>
        <w:rPr>
          <w:rFonts w:cs="Calibri"/>
          <w:b/>
          <w:bCs/>
          <w:szCs w:val="22"/>
        </w:rPr>
        <w:t>- Mediakonwerter PoE</w:t>
      </w:r>
    </w:p>
    <w:tbl>
      <w:tblPr>
        <w:tblW w:w="9578" w:type="dxa"/>
        <w:jc w:val="left"/>
        <w:tblInd w:w="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6" w:type="dxa"/>
          <w:bottom w:w="30" w:type="dxa"/>
          <w:right w:w="75" w:type="dxa"/>
        </w:tblCellMar>
        <w:tblLook w:firstRow="1" w:noVBand="1" w:lastRow="0" w:firstColumn="1" w:lastColumn="0" w:noHBand="0" w:val="04a0"/>
      </w:tblPr>
      <w:tblGrid>
        <w:gridCol w:w="2613"/>
        <w:gridCol w:w="3378"/>
        <w:gridCol w:w="902"/>
        <w:gridCol w:w="1"/>
        <w:gridCol w:w="2683"/>
      </w:tblGrid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Interfejsy urządzenia   </w:t>
            </w:r>
          </w:p>
        </w:tc>
      </w:tr>
      <w:tr>
        <w:trPr/>
        <w:tc>
          <w:tcPr>
            <w:tcW w:w="261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Porty Ethernet</w:t>
            </w:r>
          </w:p>
        </w:tc>
        <w:tc>
          <w:tcPr>
            <w:tcW w:w="428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10/100/1000 Mb/s 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428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 tym PoE 10/100/1000 Mb/s 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428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slot SFP 1000 Mb/s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Wydajność sprzętowa   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Przepustowość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Gb/s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8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Szybkość przekierowań pakietów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Mp/s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5,95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Pamieć bufora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Mb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0,448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Tablica MAC adresów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 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1K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Ramki Jumbo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KB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Funkcje przełącznika   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Kontrola przepływu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Tak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802.1p/DSCP QoS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IGMP Snooping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Właściwości PoE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Standard PoE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802.3af/at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Budżet mocy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90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Maksymalna moc dla portu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60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Priorytet dla portu PoE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Extend mode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Właściwość sprzętowe   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Maksymalny pobór mocy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5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Obudowa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metalowa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Zasilanie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V DC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48-57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Ilość wentylatorów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0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Wymiary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mm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99 x 65 x 50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Zabezpieczanie przed wyładowaniami elektrostatycznymi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kV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&lt;6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Sposoób montażu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Desktop, DIN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Redundantne zasilanie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Tak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Certyfikaty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CE/FCC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Zawartość opakowania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311SFP mini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Środowisko pracy   </w:t>
            </w:r>
          </w:p>
        </w:tc>
      </w:tr>
      <w:tr>
        <w:trPr/>
        <w:tc>
          <w:tcPr>
            <w:tcW w:w="261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Temperatura </w:t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pracy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mbria Math" w:ascii="Cambria Math" w:hAnsi="Cambria Math"/>
                <w:color w:val="222222"/>
                <w:szCs w:val="22"/>
                <w:lang w:eastAsia="pl-PL"/>
              </w:rPr>
              <w:t>℃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0...+40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przechowywania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mbria Math" w:ascii="Cambria Math" w:hAnsi="Cambria Math"/>
                <w:color w:val="222222"/>
                <w:szCs w:val="22"/>
                <w:lang w:eastAsia="pl-PL"/>
              </w:rPr>
              <w:t>℃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-40...+75</w:t>
            </w:r>
          </w:p>
        </w:tc>
      </w:tr>
      <w:tr>
        <w:trPr/>
        <w:tc>
          <w:tcPr>
            <w:tcW w:w="261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Wilgotność </w:t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powietrza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%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10...90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przechowywania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%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5...90</w:t>
            </w:r>
          </w:p>
        </w:tc>
      </w:tr>
    </w:tbl>
    <w:p>
      <w:pPr>
        <w:pStyle w:val="Normal"/>
        <w:rPr>
          <w:rFonts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rPr>
          <w:rFonts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rPr/>
      </w:pPr>
      <w:r>
        <w:rPr>
          <w:rFonts w:cs="Calibri"/>
          <w:b/>
          <w:bCs/>
          <w:szCs w:val="22"/>
        </w:rPr>
        <w:t>- Switch PoE 2 porty + SFP</w:t>
      </w:r>
    </w:p>
    <w:tbl>
      <w:tblPr>
        <w:tblW w:w="9578" w:type="dxa"/>
        <w:jc w:val="left"/>
        <w:tblInd w:w="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6" w:type="dxa"/>
          <w:bottom w:w="30" w:type="dxa"/>
          <w:right w:w="75" w:type="dxa"/>
        </w:tblCellMar>
        <w:tblLook w:firstRow="1" w:noVBand="1" w:lastRow="0" w:firstColumn="1" w:lastColumn="0" w:noHBand="0" w:val="04a0"/>
      </w:tblPr>
      <w:tblGrid>
        <w:gridCol w:w="2613"/>
        <w:gridCol w:w="3378"/>
        <w:gridCol w:w="902"/>
        <w:gridCol w:w="1"/>
        <w:gridCol w:w="2683"/>
      </w:tblGrid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Interfejsy urządzenia   </w:t>
            </w:r>
          </w:p>
        </w:tc>
      </w:tr>
      <w:tr>
        <w:trPr/>
        <w:tc>
          <w:tcPr>
            <w:tcW w:w="261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Porty Ethernet      </w:t>
            </w:r>
          </w:p>
        </w:tc>
        <w:tc>
          <w:tcPr>
            <w:tcW w:w="428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10/100/1000 Mb/s 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2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428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 tym PoE 10/100/1000 Mb/s 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2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428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slot SFP 1000 Mb/s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2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Wydajność sprzętowa   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Przepustowość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Gb/s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8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Szybkość przekierowań pakietów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Mp/s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5,95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Pamieć bufora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Mb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0,448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Tablica MAC adresów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 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1K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Ramki Jumbo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KB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Funkcje przełącznika   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Kontrola przepływu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Tak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802.1p/DSCP QoS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IGMP Snooping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Właściwości PoE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Standard PoE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802.3af/at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Budżet mocy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180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Maksymalna moc dla portu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90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Priorytet dla portu PoE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Extend mode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Właściwość sprzętowe   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Maksymalny pobór mocy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5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Obudowa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metalowa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Zasilanie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V DC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48-57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Ilość wentylatorów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0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Wymiary 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mm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99 x 65 x 50</w:t>
            </w:r>
          </w:p>
        </w:tc>
      </w:tr>
      <w:tr>
        <w:trPr/>
        <w:tc>
          <w:tcPr>
            <w:tcW w:w="599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Zabezpieczanie przed wyładowaniami elektrostatycznymi</w:t>
            </w:r>
          </w:p>
        </w:tc>
        <w:tc>
          <w:tcPr>
            <w:tcW w:w="90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kV</w:t>
            </w:r>
          </w:p>
        </w:tc>
        <w:tc>
          <w:tcPr>
            <w:tcW w:w="26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&lt;6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Sposoób montażu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Desktop, DIN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Redundantne zasilanie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Tak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Certyfikaty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CE/FCC</w:t>
            </w:r>
          </w:p>
        </w:tc>
      </w:tr>
      <w:tr>
        <w:trPr/>
        <w:tc>
          <w:tcPr>
            <w:tcW w:w="689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Zawartość opakowania  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311SFP mini</w:t>
            </w:r>
          </w:p>
        </w:tc>
      </w:tr>
      <w:tr>
        <w:trPr/>
        <w:tc>
          <w:tcPr>
            <w:tcW w:w="9577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b/>
                <w:bCs/>
                <w:color w:val="222222"/>
                <w:szCs w:val="22"/>
                <w:lang w:eastAsia="pl-PL"/>
              </w:rPr>
              <w:t>Środowisko pracy   </w:t>
            </w:r>
          </w:p>
        </w:tc>
      </w:tr>
      <w:tr>
        <w:trPr/>
        <w:tc>
          <w:tcPr>
            <w:tcW w:w="261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Temperatura </w:t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pracy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mbria Math" w:ascii="Cambria Math" w:hAnsi="Cambria Math"/>
                <w:color w:val="222222"/>
                <w:szCs w:val="22"/>
                <w:lang w:eastAsia="pl-PL"/>
              </w:rPr>
              <w:t>℃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0...+40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przechowywania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mbria Math" w:ascii="Cambria Math" w:hAnsi="Cambria Math"/>
                <w:color w:val="222222"/>
                <w:szCs w:val="22"/>
                <w:lang w:eastAsia="pl-PL"/>
              </w:rPr>
              <w:t>℃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-40...+75</w:t>
            </w:r>
          </w:p>
        </w:tc>
      </w:tr>
      <w:tr>
        <w:trPr/>
        <w:tc>
          <w:tcPr>
            <w:tcW w:w="2613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Wilgotność </w:t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powietrza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%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10...90</w:t>
            </w:r>
          </w:p>
        </w:tc>
      </w:tr>
      <w:tr>
        <w:trPr/>
        <w:tc>
          <w:tcPr>
            <w:tcW w:w="2613" w:type="dxa"/>
            <w:vMerge w:val="continue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top w:w="0" w:type="dxa"/>
              <w:left w:w="-22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>
                <w:rFonts w:cs="Calibri"/>
                <w:color w:val="222222"/>
                <w:szCs w:val="22"/>
                <w:lang w:eastAsia="pl-PL"/>
              </w:rPr>
            </w:pPr>
            <w:r>
              <w:rPr>
                <w:rFonts w:cs="Calibri"/>
                <w:color w:val="222222"/>
                <w:szCs w:val="22"/>
                <w:lang w:eastAsia="pl-PL"/>
              </w:rPr>
            </w:r>
          </w:p>
        </w:tc>
        <w:tc>
          <w:tcPr>
            <w:tcW w:w="33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przechowywania</w:t>
            </w:r>
          </w:p>
        </w:tc>
        <w:tc>
          <w:tcPr>
            <w:tcW w:w="9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left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%</w:t>
            </w:r>
          </w:p>
        </w:tc>
        <w:tc>
          <w:tcPr>
            <w:tcW w:w="268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/>
              <w:jc w:val="center"/>
              <w:rPr/>
            </w:pPr>
            <w:r>
              <w:rPr>
                <w:rFonts w:cs="Calibri"/>
                <w:color w:val="222222"/>
                <w:szCs w:val="22"/>
                <w:lang w:eastAsia="pl-PL"/>
              </w:rPr>
              <w:t>5...90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Autospacing="1" w:afterAutospacing="1"/>
        <w:jc w:val="left"/>
        <w:rPr/>
      </w:pPr>
      <w:r>
        <w:rPr>
          <w:rFonts w:cs="Calibri"/>
          <w:color w:val="222222"/>
          <w:szCs w:val="22"/>
          <w:lang w:eastAsia="pl-PL"/>
        </w:rPr>
        <w:t> </w:t>
      </w:r>
    </w:p>
    <w:p>
      <w:pPr>
        <w:pStyle w:val="Normal"/>
        <w:rPr>
          <w:rFonts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rPr>
          <w:rFonts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rPr/>
      </w:pPr>
      <w:r>
        <w:rPr>
          <w:rFonts w:cs="Calibri"/>
          <w:b/>
          <w:bCs/>
          <w:szCs w:val="22"/>
        </w:rPr>
        <w:t>- Switch PoE 4 porty  + SFP</w:t>
      </w:r>
    </w:p>
    <w:tbl>
      <w:tblPr>
        <w:tblW w:w="9578" w:type="dxa"/>
        <w:jc w:val="left"/>
        <w:tblInd w:w="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30" w:type="dxa"/>
          <w:left w:w="6" w:type="dxa"/>
          <w:bottom w:w="30" w:type="dxa"/>
          <w:right w:w="75" w:type="dxa"/>
        </w:tblCellMar>
        <w:tblLook w:firstRow="1" w:noVBand="1" w:lastRow="0" w:firstColumn="1" w:lastColumn="0" w:noHBand="0" w:val="04a0"/>
      </w:tblPr>
      <w:tblGrid>
        <w:gridCol w:w="2889"/>
        <w:gridCol w:w="6688"/>
      </w:tblGrid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15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Standardy i protokoły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Autospacing="1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IEEE 802.3 10Base-T</w:t>
              <w:br/>
              <w:t>IEEE 802.3ab 1000BASE-T</w:t>
              <w:br/>
              <w:t>IEEE 802.3u 100Base-TX</w:t>
              <w:br/>
              <w:t>IEEE 802.3x Flow control</w:t>
              <w:br/>
              <w:t>IEEE 802.1Q VLAN</w:t>
              <w:br/>
              <w:t>IEEE 802.3af/at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Funkcje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Autospacing="1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Zasilanie urządzeń PoE IEEE 802.3af/at 30 W</w:t>
              <w:br/>
              <w:t>Obsługa funkcji auto-learning i auto-aging MAC</w:t>
              <w:br/>
              <w:t>Wsparcie standardu kontroli przepustowości dla trybu pełnego dupleksu (IEEE802.3x) oraz funkcji back pressure dla trybu pół dupleksu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Metoda transmisji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Store-and-Forward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Porty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4 porty RJ45 10/100/1000Mb/s  w tym 4 porty PoE</w:t>
              <w:br/>
              <w:t>1 port Rj45 10/100/1000 (port PD)</w:t>
              <w:br/>
              <w:t>2x SFP 1000 Mb/s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Okablowanie sieciowe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10Base-T:</w:t>
              <w:br/>
              <w:t>Kabel UTP kat. 3, 4 lub 5 (do 100m)</w:t>
              <w:br/>
              <w:t>Kabel STP EIA/TIA-568 100Ω (do 100m)</w:t>
              <w:br/>
              <w:t>100Base-Tx:</w:t>
              <w:br/>
              <w:t>Kabel UTP kat. 5, lub 5e (do 100m)</w:t>
              <w:br/>
              <w:t>Kabel STP EIA/TIA-568 100Ω (do 100m)</w:t>
              <w:br/>
              <w:t>1000Base-T:</w:t>
              <w:br/>
              <w:t>Kabel UTP kat. 5e lub 6 (do 100m)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Wskaźniki LED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PWR1, PWR2, F1, POE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Zabezpieczanie przed wyładowaniami elektrostatycznymi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&lt;6kV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Wymiary [mm]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165x115x50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Środowisko pracy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center"/>
              <w:rPr/>
            </w:pPr>
            <w:r>
              <w:rPr>
                <w:rFonts w:cs="Calibri"/>
                <w:szCs w:val="22"/>
                <w:lang w:eastAsia="pl-PL"/>
              </w:rPr>
              <w:t>Dopuszczalna temperatura pracy: -30...65</w:t>
            </w:r>
            <w:r>
              <w:rPr>
                <w:rFonts w:cs="Cambria Math" w:ascii="Cambria Math" w:hAnsi="Cambria Math"/>
                <w:szCs w:val="22"/>
                <w:lang w:eastAsia="pl-PL"/>
              </w:rPr>
              <w:t>℃</w:t>
            </w:r>
            <w:r>
              <w:rPr>
                <w:rFonts w:cs="Calibri"/>
                <w:szCs w:val="22"/>
                <w:lang w:eastAsia="pl-PL"/>
              </w:rPr>
              <w:br/>
              <w:t>Dopuszczalna wilgotność powietrza:  5...95% (bez kodensacji pary wodnej)</w:t>
            </w:r>
          </w:p>
        </w:tc>
      </w:tr>
      <w:tr>
        <w:trPr/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left"/>
              <w:rPr/>
            </w:pPr>
            <w:r>
              <w:rPr>
                <w:rFonts w:cs="Calibri"/>
                <w:szCs w:val="22"/>
                <w:lang w:eastAsia="pl-PL"/>
              </w:rPr>
              <w:t>Zasilanie</w:t>
            </w:r>
          </w:p>
        </w:tc>
        <w:tc>
          <w:tcPr>
            <w:tcW w:w="66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6" w:type="dxa"/>
            </w:tcMar>
            <w:vAlign w:val="center"/>
          </w:tcPr>
          <w:p>
            <w:pPr>
              <w:pStyle w:val="Normal"/>
              <w:suppressAutoHyphens w:val="false"/>
              <w:spacing w:lineRule="auto" w:line="240" w:before="0" w:afterAutospacing="1"/>
              <w:jc w:val="center"/>
              <w:rPr/>
            </w:pPr>
            <w:r>
              <w:rPr>
                <w:rFonts w:cs="Calibri"/>
                <w:szCs w:val="22"/>
                <w:lang w:eastAsia="pl-PL"/>
              </w:rPr>
              <w:t>DC 48-57 V (możliwość podłączenia dwóch zasilaczy - redundantne zasilanie)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Autospacing="1" w:afterAutospacing="1"/>
        <w:jc w:val="left"/>
        <w:rPr>
          <w:rFonts w:cs="Calibri"/>
          <w:color w:val="222222"/>
          <w:szCs w:val="22"/>
          <w:lang w:eastAsia="pl-PL"/>
        </w:rPr>
      </w:pPr>
      <w:r>
        <w:rPr>
          <w:rFonts w:cs="Calibri"/>
          <w:color w:val="222222"/>
          <w:szCs w:val="22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16" w:right="1154" w:header="0" w:top="1176" w:footer="0" w:bottom="120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 Math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18fa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Times New Roman" w:cs="Times New Roman" w:asciiTheme="minorHAnsi" w:hAnsiTheme="minorHAnsi"/>
      <w:color w:val="00000A"/>
      <w:sz w:val="22"/>
      <w:szCs w:val="20"/>
      <w:lang w:val="pl-PL" w:eastAsia="ar-SA" w:bidi="ar-SA"/>
    </w:rPr>
  </w:style>
  <w:style w:type="paragraph" w:styleId="Nagwek1">
    <w:name w:val="Nagłówek 1"/>
    <w:basedOn w:val="Normal"/>
    <w:link w:val="Nagwek1Znak"/>
    <w:uiPriority w:val="9"/>
    <w:qFormat/>
    <w:rsid w:val="00135f06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Nagłówek 2"/>
    <w:basedOn w:val="Normal"/>
    <w:link w:val="Nagwek2Znak"/>
    <w:uiPriority w:val="9"/>
    <w:unhideWhenUsed/>
    <w:qFormat/>
    <w:rsid w:val="00135f06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35f0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35f06"/>
    <w:rPr>
      <w:rFonts w:ascii="Calibri" w:hAnsi="Calibri" w:cs="Times New Roman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35f06"/>
    <w:rPr>
      <w:rFonts w:ascii="Calibri" w:hAnsi="Calibri" w:cs="Times New Roman"/>
      <w:szCs w:val="20"/>
      <w:lang w:eastAsia="ar-SA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135f0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5f06"/>
    <w:pPr>
      <w:spacing w:before="0" w:after="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unhideWhenUsed/>
    <w:rsid w:val="00135f06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Stopka"/>
    <w:basedOn w:val="Normal"/>
    <w:link w:val="StopkaZnak"/>
    <w:uiPriority w:val="99"/>
    <w:unhideWhenUsed/>
    <w:rsid w:val="00135f06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07AC-8F0C-42AA-A980-B8BBA301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LibreOffice/5.1.1.3$Windows_x86 LibreOffice_project/89f508ef3ecebd2cfb8e1def0f0ba9a803b88a6d</Application>
  <Pages>14</Pages>
  <Words>2979</Words>
  <Characters>18991</Characters>
  <CharactersWithSpaces>21462</CharactersWithSpaces>
  <Paragraphs>660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2021-10-11T07:28:00Z</dcterms:created>
  <dc:creator>Igor Kwiecień</dc:creator>
  <dc:description/>
  <dc:language>pl-PL</dc:language>
  <cp:lastModifiedBy/>
  <dcterms:modified xsi:type="dcterms:W3CDTF">2021-10-15T10:19:58Z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